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E5A80" w14:textId="77777777" w:rsidR="00EB07C5" w:rsidRDefault="002064FB" w:rsidP="00EB07C5">
      <w:pPr>
        <w:snapToGrid w:val="0"/>
        <w:spacing w:line="400" w:lineRule="atLeast"/>
        <w:jc w:val="center"/>
        <w:rPr>
          <w:rFonts w:ascii="Times New Roman" w:eastAsia="標楷體" w:hAnsi="Times New Roman" w:cs="Times New Roman"/>
          <w:color w:val="000000" w:themeColor="text1"/>
          <w:sz w:val="36"/>
          <w:szCs w:val="36"/>
        </w:rPr>
      </w:pPr>
      <w:r w:rsidRPr="00EE4608">
        <w:rPr>
          <w:rFonts w:ascii="Times New Roman" w:eastAsia="標楷體" w:hAnsi="Times New Roman" w:cs="Times New Roman"/>
          <w:color w:val="000000" w:themeColor="text1"/>
          <w:sz w:val="36"/>
          <w:szCs w:val="36"/>
        </w:rPr>
        <w:t>國立臺灣戲曲學院承攬作業安全衛生管理要點</w:t>
      </w:r>
    </w:p>
    <w:p w14:paraId="32AD344C" w14:textId="77777777" w:rsidR="00EB07C5" w:rsidRDefault="00EB07C5" w:rsidP="00EB07C5">
      <w:pPr>
        <w:snapToGrid w:val="0"/>
        <w:spacing w:line="400" w:lineRule="atLeast"/>
        <w:jc w:val="center"/>
        <w:rPr>
          <w:rFonts w:ascii="Times New Roman" w:eastAsia="標楷體" w:hAnsi="Times New Roman" w:cs="Times New Roman"/>
          <w:color w:val="000000" w:themeColor="text1"/>
          <w:sz w:val="36"/>
          <w:szCs w:val="36"/>
        </w:rPr>
      </w:pPr>
      <w:r>
        <w:rPr>
          <w:rFonts w:ascii="Times New Roman" w:eastAsia="標楷體" w:hAnsi="Times New Roman" w:cs="Times New Roman" w:hint="eastAsia"/>
          <w:color w:val="000000" w:themeColor="text1"/>
          <w:sz w:val="36"/>
          <w:szCs w:val="36"/>
        </w:rPr>
        <w:t xml:space="preserve">                     </w:t>
      </w:r>
      <w:r w:rsidR="002064FB" w:rsidRPr="00EE4608">
        <w:rPr>
          <w:rFonts w:ascii="Times New Roman" w:eastAsia="標楷體" w:hAnsi="Times New Roman" w:cs="Times New Roman"/>
          <w:color w:val="000000" w:themeColor="text1"/>
          <w:sz w:val="18"/>
          <w:szCs w:val="18"/>
        </w:rPr>
        <w:t>112</w:t>
      </w:r>
      <w:r w:rsidR="002064FB" w:rsidRPr="00EE4608">
        <w:rPr>
          <w:rFonts w:ascii="Times New Roman" w:eastAsia="標楷體" w:hAnsi="Times New Roman" w:cs="Times New Roman"/>
          <w:color w:val="000000" w:themeColor="text1"/>
          <w:sz w:val="18"/>
          <w:szCs w:val="18"/>
        </w:rPr>
        <w:t>年</w:t>
      </w:r>
      <w:r w:rsidR="002064FB" w:rsidRPr="00EE4608">
        <w:rPr>
          <w:rFonts w:ascii="Times New Roman" w:eastAsia="標楷體" w:hAnsi="Times New Roman" w:cs="Times New Roman"/>
          <w:color w:val="000000" w:themeColor="text1"/>
          <w:sz w:val="18"/>
          <w:szCs w:val="18"/>
        </w:rPr>
        <w:t>1</w:t>
      </w:r>
      <w:r w:rsidR="002064FB" w:rsidRPr="00EE4608">
        <w:rPr>
          <w:rFonts w:ascii="Times New Roman" w:eastAsia="標楷體" w:hAnsi="Times New Roman" w:cs="Times New Roman"/>
          <w:color w:val="000000" w:themeColor="text1"/>
          <w:sz w:val="18"/>
          <w:szCs w:val="18"/>
        </w:rPr>
        <w:t>月</w:t>
      </w:r>
      <w:r w:rsidR="002064FB" w:rsidRPr="00EE4608">
        <w:rPr>
          <w:rFonts w:ascii="Times New Roman" w:eastAsia="標楷體" w:hAnsi="Times New Roman" w:cs="Times New Roman"/>
          <w:color w:val="000000" w:themeColor="text1"/>
          <w:sz w:val="18"/>
          <w:szCs w:val="18"/>
        </w:rPr>
        <w:t>11</w:t>
      </w:r>
      <w:r w:rsidR="002064FB" w:rsidRPr="00EE4608">
        <w:rPr>
          <w:rFonts w:ascii="Times New Roman" w:eastAsia="標楷體" w:hAnsi="Times New Roman" w:cs="Times New Roman"/>
          <w:color w:val="000000" w:themeColor="text1"/>
          <w:sz w:val="18"/>
          <w:szCs w:val="18"/>
        </w:rPr>
        <w:t>日校園環境衛生及安全維護委員會審議通過</w:t>
      </w:r>
      <w:r>
        <w:rPr>
          <w:rFonts w:ascii="Times New Roman" w:eastAsia="標楷體" w:hAnsi="Times New Roman" w:cs="Times New Roman" w:hint="eastAsia"/>
          <w:color w:val="000000" w:themeColor="text1"/>
          <w:sz w:val="36"/>
          <w:szCs w:val="36"/>
        </w:rPr>
        <w:t xml:space="preserve">    </w:t>
      </w:r>
    </w:p>
    <w:p w14:paraId="611ACD12" w14:textId="75D703B7" w:rsidR="002064FB" w:rsidRPr="00EB07C5" w:rsidRDefault="00EB07C5" w:rsidP="00EB07C5">
      <w:pPr>
        <w:snapToGrid w:val="0"/>
        <w:spacing w:line="400" w:lineRule="atLeast"/>
        <w:jc w:val="center"/>
        <w:rPr>
          <w:rFonts w:ascii="Times New Roman" w:eastAsia="標楷體" w:hAnsi="Times New Roman" w:cs="Times New Roman"/>
          <w:color w:val="000000" w:themeColor="text1"/>
          <w:sz w:val="36"/>
          <w:szCs w:val="36"/>
        </w:rPr>
      </w:pPr>
      <w:r>
        <w:rPr>
          <w:rFonts w:ascii="Times New Roman" w:eastAsia="標楷體" w:hAnsi="Times New Roman" w:cs="Times New Roman" w:hint="eastAsia"/>
          <w:color w:val="000000" w:themeColor="text1"/>
          <w:sz w:val="36"/>
          <w:szCs w:val="36"/>
        </w:rPr>
        <w:t xml:space="preserve">                    </w:t>
      </w:r>
      <w:r w:rsidR="002064FB" w:rsidRPr="00EE4608">
        <w:rPr>
          <w:rFonts w:ascii="Times New Roman" w:eastAsia="標楷體" w:hAnsi="Times New Roman" w:cs="Times New Roman"/>
          <w:color w:val="000000" w:themeColor="text1"/>
          <w:sz w:val="18"/>
          <w:szCs w:val="18"/>
        </w:rPr>
        <w:t>115</w:t>
      </w:r>
      <w:r w:rsidR="002064FB" w:rsidRPr="00EE4608">
        <w:rPr>
          <w:rFonts w:ascii="Times New Roman" w:eastAsia="標楷體" w:hAnsi="Times New Roman" w:cs="Times New Roman"/>
          <w:color w:val="000000" w:themeColor="text1"/>
          <w:sz w:val="18"/>
          <w:szCs w:val="18"/>
        </w:rPr>
        <w:t>年</w:t>
      </w:r>
      <w:r w:rsidR="002064FB">
        <w:rPr>
          <w:rFonts w:ascii="Times New Roman" w:eastAsia="標楷體" w:hAnsi="Times New Roman" w:cs="Times New Roman" w:hint="eastAsia"/>
          <w:color w:val="000000" w:themeColor="text1"/>
          <w:sz w:val="18"/>
          <w:szCs w:val="18"/>
        </w:rPr>
        <w:t>9</w:t>
      </w:r>
      <w:r w:rsidR="002064FB" w:rsidRPr="00EE4608">
        <w:rPr>
          <w:rFonts w:ascii="Times New Roman" w:eastAsia="標楷體" w:hAnsi="Times New Roman" w:cs="Times New Roman"/>
          <w:color w:val="000000" w:themeColor="text1"/>
          <w:sz w:val="18"/>
          <w:szCs w:val="18"/>
        </w:rPr>
        <w:t>月</w:t>
      </w:r>
      <w:r w:rsidR="002064FB">
        <w:rPr>
          <w:rFonts w:ascii="Times New Roman" w:eastAsia="標楷體" w:hAnsi="Times New Roman" w:cs="Times New Roman" w:hint="eastAsia"/>
          <w:color w:val="000000" w:themeColor="text1"/>
          <w:sz w:val="18"/>
          <w:szCs w:val="18"/>
        </w:rPr>
        <w:t>30</w:t>
      </w:r>
      <w:r w:rsidR="002064FB" w:rsidRPr="00EE4608">
        <w:rPr>
          <w:rFonts w:ascii="Times New Roman" w:eastAsia="標楷體" w:hAnsi="Times New Roman" w:cs="Times New Roman"/>
          <w:color w:val="000000" w:themeColor="text1"/>
          <w:sz w:val="18"/>
          <w:szCs w:val="18"/>
        </w:rPr>
        <w:t>日校園職業安全衛生管理委員會審議</w:t>
      </w:r>
      <w:r w:rsidRPr="00EE4608">
        <w:rPr>
          <w:rFonts w:ascii="Times New Roman" w:eastAsia="標楷體" w:hAnsi="Times New Roman" w:cs="Times New Roman"/>
          <w:color w:val="000000" w:themeColor="text1"/>
          <w:sz w:val="18"/>
          <w:szCs w:val="18"/>
        </w:rPr>
        <w:t>通過</w:t>
      </w:r>
    </w:p>
    <w:p w14:paraId="5C3A0F44" w14:textId="77777777" w:rsidR="002064FB" w:rsidRPr="00EE4608" w:rsidRDefault="002064FB" w:rsidP="002064FB">
      <w:pPr>
        <w:spacing w:line="240" w:lineRule="auto"/>
        <w:ind w:left="425" w:hangingChars="177" w:hanging="425"/>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一、國立臺灣戲曲學院（以下簡稱本校）為加強承攬作業安全衛生管理，落實承攬作業風險評估、危害告知、共同作業管理及職業災害預防措施，依《職業安全衛生法》第二十五條至第二十八條及其他相關法令規定，訂定本要點。</w:t>
      </w:r>
    </w:p>
    <w:p w14:paraId="3A689AD7" w14:textId="77777777" w:rsidR="002064FB" w:rsidRPr="00EE4608" w:rsidRDefault="002064FB" w:rsidP="002064FB">
      <w:pPr>
        <w:spacing w:line="240" w:lineRule="auto"/>
        <w:ind w:left="425" w:hangingChars="177" w:hanging="425"/>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二、本要點適用於本校以其事業交付承攬之工程、勞務、涉及現場安裝、維修、保養、試運轉或其他作業之財物採購，以及其他經本校交付承攬並進入本校工作場所從事作業之承攬人及再承攬人。</w:t>
      </w:r>
    </w:p>
    <w:p w14:paraId="5A08FC9A" w14:textId="77777777" w:rsidR="002064FB" w:rsidRPr="00EE4608" w:rsidRDefault="002064FB" w:rsidP="002064FB">
      <w:pPr>
        <w:spacing w:line="240" w:lineRule="auto"/>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三、本校承攬作業管理業務權責如下：</w:t>
      </w:r>
    </w:p>
    <w:p w14:paraId="25CF7943"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一</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需求（請購）單位：提出承攬需求、確認作業內容，並會同工作場所管理單位辦理承攬作業風險評估、危害資訊提供，以及依其權責辦理作業期間之安全衛生管理與追蹤。</w:t>
      </w:r>
    </w:p>
    <w:p w14:paraId="236BC699"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二</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工作場所管理單位：提供作業場所、設施、設備及已知危害資訊，並協助辦理作業前危害確認及作業期間現場安全衛生管理。</w:t>
      </w:r>
    </w:p>
    <w:p w14:paraId="78AEAB74"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三</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採購單位：依採購程序將必要之職業安全衛生要求納入招標、採購或契約文件，並依契約辦理履約管理。</w:t>
      </w:r>
    </w:p>
    <w:p w14:paraId="5FF4731B"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四</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總務處環安組：負責本校承攬作業安全衛生管理制度規劃、相關表單管理、教育宣導、技術諮詢及必要之查核與追蹤。</w:t>
      </w:r>
    </w:p>
    <w:p w14:paraId="3FF0B74A"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五</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承攬人：就其承攬部分負《職業安全衛生法》所定雇主責任，依法採取必要之安全衛生設備及措施；並應依其事業規模、性質及法令適用情形，依法設置職業安全衛生組織及人員、訂定職業安全衛生管理計畫、實施安全衛生管理、自動檢查及安全衛生教育訓練。依法應由具特定資格或合格人員從事之作業，應指派符合資格之人員辦理，並配合本校進場管制提供必要證明文件。</w:t>
      </w:r>
    </w:p>
    <w:p w14:paraId="10B45B9E"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六</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再承攬人：就其再承攬部分依法負相關安全衛生責任，並依《職業安全衛生法》第二十六條、第二十七條及其他相關規定辦理。</w:t>
      </w:r>
    </w:p>
    <w:p w14:paraId="722B65AE"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四、承攬作業風險評估及危害告知，依下列規定辦理：</w:t>
      </w:r>
    </w:p>
    <w:p w14:paraId="05E8C7A4"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一</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本校以其事業交付承攬前，需求（請購）單位應會同工作場所管理單位，就承攬作業內容、作業場所、作業方法、機械、設備、器具、材料及其他可能危害實施風險評估；必要時得洽總務處環安組或具相關專業能力人員提供協助。</w:t>
      </w:r>
    </w:p>
    <w:p w14:paraId="4E3F82C5"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lastRenderedPageBreak/>
        <w:t>(</w:t>
      </w:r>
      <w:r w:rsidRPr="00EE4608">
        <w:rPr>
          <w:rFonts w:ascii="Times New Roman" w:eastAsia="標楷體" w:hAnsi="Times New Roman" w:cs="Times New Roman"/>
          <w:color w:val="000000" w:themeColor="text1"/>
        </w:rPr>
        <w:t>二</w:t>
      </w:r>
      <w:r w:rsidRPr="00EE4608">
        <w:rPr>
          <w:rFonts w:ascii="Times New Roman" w:eastAsia="標楷體" w:hAnsi="Times New Roman" w:cs="Times New Roman"/>
          <w:color w:val="000000" w:themeColor="text1"/>
        </w:rPr>
        <w:t xml:space="preserve">) </w:t>
      </w:r>
      <w:r w:rsidRPr="00EE4608">
        <w:rPr>
          <w:rFonts w:ascii="Times New Roman" w:eastAsia="標楷體" w:hAnsi="Times New Roman" w:cs="Times New Roman"/>
          <w:color w:val="000000" w:themeColor="text1"/>
        </w:rPr>
        <w:t>前款風險評估結果應包含工作環境、危害因素及應採取之安全衛生設備與措施，並於交付承攬前納入必要之採購或契約管理要求。</w:t>
      </w:r>
    </w:p>
    <w:p w14:paraId="75888F23"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（三）承攬人進場作業前，需求（請購）單位及工作場所管理單位應依風險評估結果，以書面或其他可供查證之方式完成危害告知，並留存紀錄。</w:t>
      </w:r>
    </w:p>
    <w:p w14:paraId="12E82E2C"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（四）承攬期間應依風險評估結果確實執行；如作業內容、施工方法、工作場所、機械、設備、器具或其他風險因素發生變更，應重新或補充實施風險評估及危害告知。</w:t>
      </w:r>
    </w:p>
    <w:p w14:paraId="70401C95"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（五）長期或經常性且作業性質相同或相近之承攬作業，得建立共同性基本資料；惟每次作業前仍應確認實際作業內容、場所及危害因素。如有變更，應重新或補充辦理風險評估及危害告知。</w:t>
      </w:r>
    </w:p>
    <w:p w14:paraId="66956EB9"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（六）承攬人、再承攬人就其承攬部分交付再承攬時，應依《職業安全衛生法》第二十六條規定辦理。</w:t>
      </w:r>
    </w:p>
    <w:p w14:paraId="0DC58CF2" w14:textId="77777777" w:rsidR="002064FB" w:rsidRPr="00EE4608" w:rsidRDefault="002064FB" w:rsidP="002064FB">
      <w:pPr>
        <w:spacing w:line="240" w:lineRule="auto"/>
        <w:ind w:leftChars="295" w:left="708"/>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（七）本校將工作場所、設備出租或出借他人使用時，應於事前告知其場所、設備之危害因素及安全衛生相關注意事項。</w:t>
      </w:r>
    </w:p>
    <w:p w14:paraId="6EBCDC4E" w14:textId="77777777" w:rsidR="002064FB" w:rsidRPr="00EE4608" w:rsidRDefault="002064FB" w:rsidP="002064FB">
      <w:pPr>
        <w:spacing w:line="240" w:lineRule="auto"/>
        <w:ind w:leftChars="-59" w:left="283" w:hangingChars="177" w:hanging="425"/>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五、本校以其事業交付承攬，並與承攬人、再承攬人之工作者共同作業時，應依《職業安全衛生法》第二十七條採取下列必要措施：</w:t>
      </w:r>
    </w:p>
    <w:p w14:paraId="5E5C859C"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 xml:space="preserve">      (</w:t>
      </w:r>
      <w:r w:rsidRPr="00EE4608">
        <w:rPr>
          <w:rFonts w:ascii="Times New Roman" w:eastAsia="標楷體" w:hAnsi="Times New Roman" w:cs="Times New Roman"/>
          <w:color w:val="000000" w:themeColor="text1"/>
        </w:rPr>
        <w:t>一</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設置協議組織，並指定工作場所負責人，擔任指揮、監督及協調工作。</w:t>
      </w:r>
    </w:p>
    <w:p w14:paraId="1E7E9375" w14:textId="77777777" w:rsidR="002064FB" w:rsidRPr="00EE4608" w:rsidRDefault="002064FB" w:rsidP="002064FB">
      <w:pPr>
        <w:spacing w:line="240" w:lineRule="auto"/>
        <w:ind w:leftChars="236" w:left="566"/>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二</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工作之連繫與調整。</w:t>
      </w:r>
    </w:p>
    <w:p w14:paraId="78EBA48D" w14:textId="77777777" w:rsidR="002064FB" w:rsidRPr="00EE4608" w:rsidRDefault="002064FB" w:rsidP="002064FB">
      <w:pPr>
        <w:spacing w:line="240" w:lineRule="auto"/>
        <w:ind w:leftChars="236" w:left="566"/>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三</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工作場所之巡視。</w:t>
      </w:r>
    </w:p>
    <w:p w14:paraId="0314A625" w14:textId="77777777" w:rsidR="002064FB" w:rsidRPr="00EE4608" w:rsidRDefault="002064FB" w:rsidP="002064FB">
      <w:pPr>
        <w:spacing w:line="240" w:lineRule="auto"/>
        <w:ind w:leftChars="236" w:left="566"/>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四</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相關承攬事業間之安全衛生教育之指導及協助。</w:t>
      </w:r>
    </w:p>
    <w:p w14:paraId="4A3682BA" w14:textId="77777777" w:rsidR="002064FB" w:rsidRPr="00EE4608" w:rsidRDefault="002064FB" w:rsidP="002064FB">
      <w:pPr>
        <w:spacing w:line="240" w:lineRule="auto"/>
        <w:ind w:leftChars="236" w:left="566"/>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五</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機械、設備、器具及人員之進場管制。</w:t>
      </w:r>
    </w:p>
    <w:p w14:paraId="2841F6A3" w14:textId="77777777" w:rsidR="002064FB" w:rsidRPr="00EE4608" w:rsidRDefault="002064FB" w:rsidP="002064FB">
      <w:pPr>
        <w:spacing w:line="240" w:lineRule="auto"/>
        <w:ind w:leftChars="236" w:left="566"/>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六</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其他為防止職業災害之必要事項。</w:t>
      </w:r>
    </w:p>
    <w:p w14:paraId="059F8643" w14:textId="77777777" w:rsidR="002064FB" w:rsidRPr="00EE4608" w:rsidRDefault="002064FB" w:rsidP="002064FB">
      <w:pPr>
        <w:spacing w:line="240" w:lineRule="auto"/>
        <w:ind w:leftChars="-59" w:left="283" w:hangingChars="177" w:hanging="425"/>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六、本校分別交付二個以上承攬人共同作業而未參與共同作業時，應指定承攬人之一負前點原事業單位之責任。承攬人、再承攬人就其承攬部分交付再承攬時，應依《職業安全衛生法》第二十七條第一項第二款至第六款規定辦理，並應配合本校依前點採取之必要管理措施。</w:t>
      </w:r>
    </w:p>
    <w:p w14:paraId="53EE70E9"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七、作業期間若發生職業災害，承攬商</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人</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應立即採取必要之急救、搶救等措施，並通報</w:t>
      </w:r>
      <w:r w:rsidRPr="00EE4608">
        <w:rPr>
          <w:rFonts w:ascii="Times New Roman" w:eastAsia="標楷體" w:hAnsi="Times New Roman" w:cs="Times New Roman"/>
          <w:color w:val="000000" w:themeColor="text1"/>
        </w:rPr>
        <w:t xml:space="preserve"> </w:t>
      </w:r>
    </w:p>
    <w:p w14:paraId="7D6E79CD" w14:textId="77777777" w:rsidR="002064FB" w:rsidRPr="00EE4608" w:rsidRDefault="002064FB" w:rsidP="002064FB">
      <w:pPr>
        <w:spacing w:line="240" w:lineRule="auto"/>
        <w:ind w:leftChars="118" w:left="283"/>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本校請購單位與總務處環安組，若發生職安法第</w:t>
      </w:r>
      <w:r w:rsidRPr="00EE4608">
        <w:rPr>
          <w:rFonts w:ascii="Times New Roman" w:eastAsia="標楷體" w:hAnsi="Times New Roman" w:cs="Times New Roman"/>
          <w:color w:val="000000" w:themeColor="text1"/>
        </w:rPr>
        <w:t xml:space="preserve"> 37 </w:t>
      </w:r>
      <w:r w:rsidRPr="00EE4608">
        <w:rPr>
          <w:rFonts w:ascii="Times New Roman" w:eastAsia="標楷體" w:hAnsi="Times New Roman" w:cs="Times New Roman"/>
          <w:color w:val="000000" w:themeColor="text1"/>
        </w:rPr>
        <w:t>條第二項所稱重大職災，除必要之急救、搶救外，非經司法機關或勞動檢查機構許可，承攬商</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人</w:t>
      </w:r>
      <w:r w:rsidRPr="00EE4608">
        <w:rPr>
          <w:rFonts w:ascii="Times New Roman" w:eastAsia="標楷體" w:hAnsi="Times New Roman" w:cs="Times New Roman"/>
          <w:color w:val="000000" w:themeColor="text1"/>
        </w:rPr>
        <w:t>)</w:t>
      </w:r>
      <w:r w:rsidRPr="00EE4608">
        <w:rPr>
          <w:rFonts w:ascii="Times New Roman" w:eastAsia="標楷體" w:hAnsi="Times New Roman" w:cs="Times New Roman"/>
          <w:color w:val="000000" w:themeColor="text1"/>
        </w:rPr>
        <w:t>不得移動或破壞現場。</w:t>
      </w:r>
    </w:p>
    <w:p w14:paraId="1243A18A"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lastRenderedPageBreak/>
        <w:t>八、承攬人因作業需要攜入、儲存、處置或使用危害性化學品者，應於進場或使用前告知需求（請購）單位及工作場所管理單位，並依適用法令辦理危害性化學品之容器標示、安全資料表（</w:t>
      </w:r>
      <w:r w:rsidRPr="00EE4608">
        <w:rPr>
          <w:rFonts w:ascii="Times New Roman" w:eastAsia="標楷體" w:hAnsi="Times New Roman" w:cs="Times New Roman"/>
          <w:color w:val="000000" w:themeColor="text1"/>
        </w:rPr>
        <w:t>SDS</w:t>
      </w:r>
      <w:r w:rsidRPr="00EE4608">
        <w:rPr>
          <w:rFonts w:ascii="Times New Roman" w:eastAsia="標楷體" w:hAnsi="Times New Roman" w:cs="Times New Roman"/>
          <w:color w:val="000000" w:themeColor="text1"/>
        </w:rPr>
        <w:t>）、儲存、使用、危害通識及相關安全衛生管理事項；必要時應提供相關資料供本校查核。</w:t>
      </w:r>
    </w:p>
    <w:p w14:paraId="4798EC8C"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九、承攬作業期間，需求（請購）單位、工作場所管理單位及相關權責單位應依其職掌及作業風險，追蹤承攬人安全衛生措施之執行情形；總務處環安組得視作業風險實施必要之查核。</w:t>
      </w:r>
    </w:p>
    <w:p w14:paraId="50B7804A"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十、承攬作業期間發生職業災害或其他安全衛生事故時，承攬人應立即採取必要之急救、搶救、退避及其他緊急處置措施，並立即通報本校需求（請購）單位及總務處環安組。</w:t>
      </w:r>
    </w:p>
    <w:p w14:paraId="2AC17106"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十一、承攬人違反職業安全衛生相關法令、本要點、風險評估所定安全衛生措施或契約約定者，本校得依契約及相關法令要求其改善、停止相關作業或採取其他必要措施；涉及違約金、扣款、暫停履約、終止或解除契約者，依採購契約及相關法令規定辦理。</w:t>
      </w:r>
    </w:p>
    <w:p w14:paraId="5A19BA5C"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十二、本要點之承攬作業管理，自承攬前準備及風險評估階段起，至作業完成、撤場及本校確認結案止。</w:t>
      </w:r>
    </w:p>
    <w:p w14:paraId="280F4AB1"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十三、本要點未規定事項，依職業安全衛生相關法令、本校其他相關規定及採購契約辦理。</w:t>
      </w:r>
    </w:p>
    <w:p w14:paraId="6DB13806" w14:textId="77777777" w:rsidR="002064FB" w:rsidRDefault="002064FB" w:rsidP="002064FB">
      <w:pPr>
        <w:spacing w:line="240" w:lineRule="auto"/>
        <w:ind w:leftChars="-59" w:left="-142"/>
        <w:jc w:val="both"/>
        <w:rPr>
          <w:rFonts w:ascii="Times New Roman" w:eastAsia="標楷體" w:hAnsi="Times New Roman" w:cs="Times New Roman"/>
          <w:color w:val="000000" w:themeColor="text1"/>
        </w:rPr>
      </w:pPr>
      <w:r w:rsidRPr="00EE4608">
        <w:rPr>
          <w:rFonts w:ascii="Times New Roman" w:eastAsia="標楷體" w:hAnsi="Times New Roman" w:cs="Times New Roman"/>
          <w:color w:val="000000" w:themeColor="text1"/>
        </w:rPr>
        <w:t>十四、本要點經本校校園職業安全衛生管理委員會審議，</w:t>
      </w:r>
      <w:r w:rsidRPr="00595F53">
        <w:rPr>
          <w:rFonts w:ascii="Times New Roman" w:eastAsia="標楷體" w:hAnsi="Times New Roman" w:cs="Times New Roman" w:hint="eastAsia"/>
          <w:color w:val="000000" w:themeColor="text1"/>
        </w:rPr>
        <w:t>後送行會議再</w:t>
      </w:r>
      <w:r w:rsidRPr="00EE4608">
        <w:rPr>
          <w:rFonts w:ascii="Times New Roman" w:eastAsia="標楷體" w:hAnsi="Times New Roman" w:cs="Times New Roman"/>
          <w:color w:val="000000" w:themeColor="text1"/>
        </w:rPr>
        <w:t>陳請校長核定後公告實施；修正時亦同。</w:t>
      </w:r>
    </w:p>
    <w:p w14:paraId="42BF2236" w14:textId="77777777" w:rsidR="002064FB" w:rsidRPr="00EE4608" w:rsidRDefault="002064FB" w:rsidP="002064FB">
      <w:pPr>
        <w:spacing w:line="240" w:lineRule="auto"/>
        <w:ind w:leftChars="-59" w:left="-142"/>
        <w:jc w:val="both"/>
        <w:rPr>
          <w:rFonts w:ascii="Times New Roman" w:eastAsia="標楷體" w:hAnsi="Times New Roman" w:cs="Times New Roman"/>
          <w:color w:val="000000" w:themeColor="text1"/>
        </w:rPr>
      </w:pPr>
    </w:p>
    <w:p w14:paraId="7847239B" w14:textId="77777777" w:rsidR="009357C1" w:rsidRPr="002064FB" w:rsidRDefault="009357C1"/>
    <w:sectPr w:rsidR="009357C1" w:rsidRPr="002064F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3C5E2" w14:textId="77777777" w:rsidR="002A4959" w:rsidRDefault="002A4959" w:rsidP="002064FB">
      <w:pPr>
        <w:spacing w:after="0" w:line="240" w:lineRule="auto"/>
      </w:pPr>
      <w:r>
        <w:separator/>
      </w:r>
    </w:p>
  </w:endnote>
  <w:endnote w:type="continuationSeparator" w:id="0">
    <w:p w14:paraId="259482FE" w14:textId="77777777" w:rsidR="002A4959" w:rsidRDefault="002A4959" w:rsidP="00206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84AE7" w14:textId="77777777" w:rsidR="002A4959" w:rsidRDefault="002A4959" w:rsidP="002064FB">
      <w:pPr>
        <w:spacing w:after="0" w:line="240" w:lineRule="auto"/>
      </w:pPr>
      <w:r>
        <w:separator/>
      </w:r>
    </w:p>
  </w:footnote>
  <w:footnote w:type="continuationSeparator" w:id="0">
    <w:p w14:paraId="59D72781" w14:textId="77777777" w:rsidR="002A4959" w:rsidRDefault="002A4959" w:rsidP="002064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D68CF"/>
    <w:rsid w:val="002064FB"/>
    <w:rsid w:val="002A4959"/>
    <w:rsid w:val="002D68CF"/>
    <w:rsid w:val="009357C1"/>
    <w:rsid w:val="00A14578"/>
    <w:rsid w:val="00A66A7D"/>
    <w:rsid w:val="00B00741"/>
    <w:rsid w:val="00D87955"/>
    <w:rsid w:val="00D9436B"/>
    <w:rsid w:val="00EB07C5"/>
    <w:rsid w:val="00EB671E"/>
    <w:rsid w:val="00FA4285"/>
    <w:rsid w:val="00FD23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CA12B"/>
  <w15:chartTrackingRefBased/>
  <w15:docId w15:val="{6C1525F5-6853-4BE8-89AD-A484EE73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64FB"/>
    <w:pPr>
      <w:widowControl w:val="0"/>
    </w:pPr>
  </w:style>
  <w:style w:type="paragraph" w:styleId="1">
    <w:name w:val="heading 1"/>
    <w:basedOn w:val="a"/>
    <w:next w:val="a"/>
    <w:link w:val="10"/>
    <w:uiPriority w:val="9"/>
    <w:qFormat/>
    <w:rsid w:val="002D68CF"/>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2D68CF"/>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2D68CF"/>
    <w:pPr>
      <w:keepNext/>
      <w:keepLines/>
      <w:spacing w:before="160" w:after="40"/>
      <w:outlineLvl w:val="2"/>
    </w:pPr>
    <w:rPr>
      <w:rFonts w:eastAsiaTheme="majorEastAsia" w:cstheme="majorBidi"/>
      <w:color w:val="365F91" w:themeColor="accent1" w:themeShade="BF"/>
      <w:sz w:val="32"/>
      <w:szCs w:val="32"/>
    </w:rPr>
  </w:style>
  <w:style w:type="paragraph" w:styleId="4">
    <w:name w:val="heading 4"/>
    <w:basedOn w:val="a"/>
    <w:next w:val="a"/>
    <w:link w:val="40"/>
    <w:uiPriority w:val="9"/>
    <w:semiHidden/>
    <w:unhideWhenUsed/>
    <w:qFormat/>
    <w:rsid w:val="002D68CF"/>
    <w:pPr>
      <w:keepNext/>
      <w:keepLines/>
      <w:spacing w:before="160" w:after="40"/>
      <w:outlineLvl w:val="3"/>
    </w:pPr>
    <w:rPr>
      <w:rFonts w:eastAsiaTheme="majorEastAsia" w:cstheme="majorBidi"/>
      <w:color w:val="365F91" w:themeColor="accent1" w:themeShade="BF"/>
      <w:sz w:val="28"/>
      <w:szCs w:val="28"/>
    </w:rPr>
  </w:style>
  <w:style w:type="paragraph" w:styleId="5">
    <w:name w:val="heading 5"/>
    <w:basedOn w:val="a"/>
    <w:next w:val="a"/>
    <w:link w:val="50"/>
    <w:uiPriority w:val="9"/>
    <w:semiHidden/>
    <w:unhideWhenUsed/>
    <w:qFormat/>
    <w:rsid w:val="002D68CF"/>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2D68C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D68C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D68C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D68C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D68CF"/>
    <w:rPr>
      <w:rFonts w:asciiTheme="majorHAnsi" w:eastAsiaTheme="majorEastAsia" w:hAnsiTheme="majorHAnsi" w:cstheme="majorBidi"/>
      <w:color w:val="365F91" w:themeColor="accent1" w:themeShade="BF"/>
      <w:sz w:val="48"/>
      <w:szCs w:val="48"/>
    </w:rPr>
  </w:style>
  <w:style w:type="character" w:customStyle="1" w:styleId="20">
    <w:name w:val="標題 2 字元"/>
    <w:basedOn w:val="a0"/>
    <w:link w:val="2"/>
    <w:uiPriority w:val="9"/>
    <w:semiHidden/>
    <w:rsid w:val="002D68CF"/>
    <w:rPr>
      <w:rFonts w:asciiTheme="majorHAnsi" w:eastAsiaTheme="majorEastAsia" w:hAnsiTheme="majorHAnsi" w:cstheme="majorBidi"/>
      <w:color w:val="365F91" w:themeColor="accent1" w:themeShade="BF"/>
      <w:sz w:val="40"/>
      <w:szCs w:val="40"/>
    </w:rPr>
  </w:style>
  <w:style w:type="character" w:customStyle="1" w:styleId="30">
    <w:name w:val="標題 3 字元"/>
    <w:basedOn w:val="a0"/>
    <w:link w:val="3"/>
    <w:uiPriority w:val="9"/>
    <w:semiHidden/>
    <w:rsid w:val="002D68CF"/>
    <w:rPr>
      <w:rFonts w:eastAsiaTheme="majorEastAsia" w:cstheme="majorBidi"/>
      <w:color w:val="365F91" w:themeColor="accent1" w:themeShade="BF"/>
      <w:sz w:val="32"/>
      <w:szCs w:val="32"/>
    </w:rPr>
  </w:style>
  <w:style w:type="character" w:customStyle="1" w:styleId="40">
    <w:name w:val="標題 4 字元"/>
    <w:basedOn w:val="a0"/>
    <w:link w:val="4"/>
    <w:uiPriority w:val="9"/>
    <w:semiHidden/>
    <w:rsid w:val="002D68CF"/>
    <w:rPr>
      <w:rFonts w:eastAsiaTheme="majorEastAsia" w:cstheme="majorBidi"/>
      <w:color w:val="365F91" w:themeColor="accent1" w:themeShade="BF"/>
      <w:sz w:val="28"/>
      <w:szCs w:val="28"/>
    </w:rPr>
  </w:style>
  <w:style w:type="character" w:customStyle="1" w:styleId="50">
    <w:name w:val="標題 5 字元"/>
    <w:basedOn w:val="a0"/>
    <w:link w:val="5"/>
    <w:uiPriority w:val="9"/>
    <w:semiHidden/>
    <w:rsid w:val="002D68CF"/>
    <w:rPr>
      <w:rFonts w:eastAsiaTheme="majorEastAsia" w:cstheme="majorBidi"/>
      <w:color w:val="365F91" w:themeColor="accent1" w:themeShade="BF"/>
    </w:rPr>
  </w:style>
  <w:style w:type="character" w:customStyle="1" w:styleId="60">
    <w:name w:val="標題 6 字元"/>
    <w:basedOn w:val="a0"/>
    <w:link w:val="6"/>
    <w:uiPriority w:val="9"/>
    <w:semiHidden/>
    <w:rsid w:val="002D68CF"/>
    <w:rPr>
      <w:rFonts w:eastAsiaTheme="majorEastAsia" w:cstheme="majorBidi"/>
      <w:color w:val="595959" w:themeColor="text1" w:themeTint="A6"/>
    </w:rPr>
  </w:style>
  <w:style w:type="character" w:customStyle="1" w:styleId="70">
    <w:name w:val="標題 7 字元"/>
    <w:basedOn w:val="a0"/>
    <w:link w:val="7"/>
    <w:uiPriority w:val="9"/>
    <w:semiHidden/>
    <w:rsid w:val="002D68CF"/>
    <w:rPr>
      <w:rFonts w:eastAsiaTheme="majorEastAsia" w:cstheme="majorBidi"/>
      <w:color w:val="595959" w:themeColor="text1" w:themeTint="A6"/>
    </w:rPr>
  </w:style>
  <w:style w:type="character" w:customStyle="1" w:styleId="80">
    <w:name w:val="標題 8 字元"/>
    <w:basedOn w:val="a0"/>
    <w:link w:val="8"/>
    <w:uiPriority w:val="9"/>
    <w:semiHidden/>
    <w:rsid w:val="002D68CF"/>
    <w:rPr>
      <w:rFonts w:eastAsiaTheme="majorEastAsia" w:cstheme="majorBidi"/>
      <w:color w:val="272727" w:themeColor="text1" w:themeTint="D8"/>
    </w:rPr>
  </w:style>
  <w:style w:type="character" w:customStyle="1" w:styleId="90">
    <w:name w:val="標題 9 字元"/>
    <w:basedOn w:val="a0"/>
    <w:link w:val="9"/>
    <w:uiPriority w:val="9"/>
    <w:semiHidden/>
    <w:rsid w:val="002D68CF"/>
    <w:rPr>
      <w:rFonts w:eastAsiaTheme="majorEastAsia" w:cstheme="majorBidi"/>
      <w:color w:val="272727" w:themeColor="text1" w:themeTint="D8"/>
    </w:rPr>
  </w:style>
  <w:style w:type="paragraph" w:styleId="a3">
    <w:name w:val="Title"/>
    <w:basedOn w:val="a"/>
    <w:next w:val="a"/>
    <w:link w:val="a4"/>
    <w:uiPriority w:val="10"/>
    <w:qFormat/>
    <w:rsid w:val="002D68C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D68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68C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D68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D68CF"/>
    <w:pPr>
      <w:spacing w:before="160"/>
      <w:jc w:val="center"/>
    </w:pPr>
    <w:rPr>
      <w:i/>
      <w:iCs/>
      <w:color w:val="404040" w:themeColor="text1" w:themeTint="BF"/>
    </w:rPr>
  </w:style>
  <w:style w:type="character" w:customStyle="1" w:styleId="a8">
    <w:name w:val="引文 字元"/>
    <w:basedOn w:val="a0"/>
    <w:link w:val="a7"/>
    <w:uiPriority w:val="29"/>
    <w:rsid w:val="002D68CF"/>
    <w:rPr>
      <w:i/>
      <w:iCs/>
      <w:color w:val="404040" w:themeColor="text1" w:themeTint="BF"/>
    </w:rPr>
  </w:style>
  <w:style w:type="paragraph" w:styleId="a9">
    <w:name w:val="List Paragraph"/>
    <w:basedOn w:val="a"/>
    <w:uiPriority w:val="34"/>
    <w:qFormat/>
    <w:rsid w:val="002D68CF"/>
    <w:pPr>
      <w:ind w:left="720"/>
      <w:contextualSpacing/>
    </w:pPr>
  </w:style>
  <w:style w:type="character" w:styleId="aa">
    <w:name w:val="Intense Emphasis"/>
    <w:basedOn w:val="a0"/>
    <w:uiPriority w:val="21"/>
    <w:qFormat/>
    <w:rsid w:val="002D68CF"/>
    <w:rPr>
      <w:i/>
      <w:iCs/>
      <w:color w:val="365F91" w:themeColor="accent1" w:themeShade="BF"/>
    </w:rPr>
  </w:style>
  <w:style w:type="paragraph" w:styleId="ab">
    <w:name w:val="Intense Quote"/>
    <w:basedOn w:val="a"/>
    <w:next w:val="a"/>
    <w:link w:val="ac"/>
    <w:uiPriority w:val="30"/>
    <w:qFormat/>
    <w:rsid w:val="002D68C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鮮明引文 字元"/>
    <w:basedOn w:val="a0"/>
    <w:link w:val="ab"/>
    <w:uiPriority w:val="30"/>
    <w:rsid w:val="002D68CF"/>
    <w:rPr>
      <w:i/>
      <w:iCs/>
      <w:color w:val="365F91" w:themeColor="accent1" w:themeShade="BF"/>
    </w:rPr>
  </w:style>
  <w:style w:type="character" w:styleId="ad">
    <w:name w:val="Intense Reference"/>
    <w:basedOn w:val="a0"/>
    <w:uiPriority w:val="32"/>
    <w:qFormat/>
    <w:rsid w:val="002D68CF"/>
    <w:rPr>
      <w:b/>
      <w:bCs/>
      <w:smallCaps/>
      <w:color w:val="365F91" w:themeColor="accent1" w:themeShade="BF"/>
      <w:spacing w:val="5"/>
    </w:rPr>
  </w:style>
  <w:style w:type="paragraph" w:styleId="ae">
    <w:name w:val="header"/>
    <w:basedOn w:val="a"/>
    <w:link w:val="af"/>
    <w:uiPriority w:val="99"/>
    <w:unhideWhenUsed/>
    <w:rsid w:val="002064FB"/>
    <w:pPr>
      <w:tabs>
        <w:tab w:val="center" w:pos="4153"/>
        <w:tab w:val="right" w:pos="8306"/>
      </w:tabs>
      <w:snapToGrid w:val="0"/>
    </w:pPr>
    <w:rPr>
      <w:sz w:val="20"/>
      <w:szCs w:val="20"/>
    </w:rPr>
  </w:style>
  <w:style w:type="character" w:customStyle="1" w:styleId="af">
    <w:name w:val="頁首 字元"/>
    <w:basedOn w:val="a0"/>
    <w:link w:val="ae"/>
    <w:uiPriority w:val="99"/>
    <w:rsid w:val="002064FB"/>
    <w:rPr>
      <w:sz w:val="20"/>
      <w:szCs w:val="20"/>
    </w:rPr>
  </w:style>
  <w:style w:type="paragraph" w:styleId="af0">
    <w:name w:val="footer"/>
    <w:basedOn w:val="a"/>
    <w:link w:val="af1"/>
    <w:uiPriority w:val="99"/>
    <w:unhideWhenUsed/>
    <w:rsid w:val="002064FB"/>
    <w:pPr>
      <w:tabs>
        <w:tab w:val="center" w:pos="4153"/>
        <w:tab w:val="right" w:pos="8306"/>
      </w:tabs>
      <w:snapToGrid w:val="0"/>
    </w:pPr>
    <w:rPr>
      <w:sz w:val="20"/>
      <w:szCs w:val="20"/>
    </w:rPr>
  </w:style>
  <w:style w:type="character" w:customStyle="1" w:styleId="af1">
    <w:name w:val="頁尾 字元"/>
    <w:basedOn w:val="a0"/>
    <w:link w:val="af0"/>
    <w:uiPriority w:val="99"/>
    <w:rsid w:val="002064F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精進案 微軟3</dc:creator>
  <cp:keywords/>
  <dc:description/>
  <cp:lastModifiedBy>精進案 微軟3</cp:lastModifiedBy>
  <cp:revision>3</cp:revision>
  <dcterms:created xsi:type="dcterms:W3CDTF">2026-10-27T03:05:00Z</dcterms:created>
  <dcterms:modified xsi:type="dcterms:W3CDTF">2026-10-27T03:12:00Z</dcterms:modified>
</cp:coreProperties>
</file>